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Harbour — financial due diligence (sample)</w:t>
      </w:r>
    </w:p>
    <w:p>
      <w:r>
        <w:t>Sample report for demonstration. Calder Industrial is a fictitious company; every figure is invented.</w:t>
      </w:r>
    </w:p>
    <w:p>
      <w:pPr>
        <w:pStyle w:val="Heading1"/>
      </w:pPr>
      <w:r>
        <w:t>Executive summary</w:t>
      </w:r>
    </w:p>
    <w:p>
      <w:r>
        <w:t>Revenue grew by 11.8% to EUR 1,230.0m in FY24, driven by Pumps (+17.6%).</w:t>
      </w:r>
    </w:p>
    <w:p>
      <w:r>
        <w:t>EBITDA increased to EUR 253.0m in FY24 from EUR 190.0m in FY23.</w:t>
      </w:r>
    </w:p>
    <w:p>
      <w:r>
        <w:t>Net working capital rose to EUR 238.0m at FY24, in line with activity.</w:t>
      </w:r>
    </w:p>
    <w:p>
      <w:pPr>
        <w:pStyle w:val="Heading1"/>
      </w:pPr>
      <w:r>
        <w:t>Income statement (EUR m)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EUR m</w:t>
            </w:r>
          </w:p>
        </w:tc>
        <w:tc>
          <w:tcPr>
            <w:tcW w:type="dxa" w:w="2160"/>
          </w:tcPr>
          <w:p>
            <w:r>
              <w:t>FY22</w:t>
            </w:r>
          </w:p>
        </w:tc>
        <w:tc>
          <w:tcPr>
            <w:tcW w:type="dxa" w:w="2160"/>
          </w:tcPr>
          <w:p>
            <w:r>
              <w:t>FY23</w:t>
            </w:r>
          </w:p>
        </w:tc>
        <w:tc>
          <w:tcPr>
            <w:tcW w:type="dxa" w:w="2160"/>
          </w:tcPr>
          <w:p>
            <w:r>
              <w:t>FY24</w:t>
            </w:r>
          </w:p>
        </w:tc>
      </w:tr>
      <w:tr>
        <w:tc>
          <w:tcPr>
            <w:tcW w:type="dxa" w:w="2160"/>
          </w:tcPr>
          <w:p>
            <w:r>
              <w:t>Revenue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1,000.0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1,100.0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1,230.0</w:t>
            </w:r>
          </w:p>
        </w:tc>
      </w:tr>
      <w:tr>
        <w:tc>
          <w:tcPr>
            <w:tcW w:type="dxa" w:w="2160"/>
          </w:tcPr>
          <w:p>
            <w:r>
              <w:t>Cost of sales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(600.0)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(655.0)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(735.0)</w:t>
            </w:r>
          </w:p>
        </w:tc>
      </w:tr>
      <w:tr>
        <w:tc>
          <w:tcPr>
            <w:tcW w:type="dxa" w:w="2160"/>
          </w:tcPr>
          <w:p>
            <w:r>
              <w:t>Gross profit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400.0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445.0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505.0</w:t>
            </w:r>
          </w:p>
        </w:tc>
      </w:tr>
      <w:tr>
        <w:tc>
          <w:tcPr>
            <w:tcW w:type="dxa" w:w="2160"/>
          </w:tcPr>
          <w:p>
            <w:r>
              <w:t>Personnel costs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(150.0)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(160.0)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(172.0)</w:t>
            </w:r>
          </w:p>
        </w:tc>
      </w:tr>
      <w:tr>
        <w:tc>
          <w:tcPr>
            <w:tcW w:type="dxa" w:w="2160"/>
          </w:tcPr>
          <w:p>
            <w:r>
              <w:t>Other operating expenses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(90.0)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(95.0)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(98.0)</w:t>
            </w:r>
          </w:p>
        </w:tc>
      </w:tr>
      <w:tr>
        <w:tc>
          <w:tcPr>
            <w:tcW w:type="dxa" w:w="2160"/>
          </w:tcPr>
          <w:p>
            <w:r>
              <w:t>EBITDA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160.0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190.0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235.0</w:t>
            </w:r>
          </w:p>
        </w:tc>
      </w:tr>
    </w:tbl>
    <w:p>
      <w:pPr>
        <w:pStyle w:val="Heading1"/>
      </w:pPr>
      <w:r>
        <w:t>Revenue by segment (EUR m)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EUR m</w:t>
            </w:r>
          </w:p>
        </w:tc>
        <w:tc>
          <w:tcPr>
            <w:tcW w:type="dxa" w:w="2160"/>
          </w:tcPr>
          <w:p>
            <w:r>
              <w:t>FY22</w:t>
            </w:r>
          </w:p>
        </w:tc>
        <w:tc>
          <w:tcPr>
            <w:tcW w:type="dxa" w:w="2160"/>
          </w:tcPr>
          <w:p>
            <w:r>
              <w:t>FY23</w:t>
            </w:r>
          </w:p>
        </w:tc>
        <w:tc>
          <w:tcPr>
            <w:tcW w:type="dxa" w:w="2160"/>
          </w:tcPr>
          <w:p>
            <w:r>
              <w:t>FY24</w:t>
            </w:r>
          </w:p>
        </w:tc>
      </w:tr>
      <w:tr>
        <w:tc>
          <w:tcPr>
            <w:tcW w:type="dxa" w:w="2160"/>
          </w:tcPr>
          <w:p>
            <w:r>
              <w:t>Industrial valves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520.0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560.0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610.0</w:t>
            </w:r>
          </w:p>
        </w:tc>
      </w:tr>
      <w:tr>
        <w:tc>
          <w:tcPr>
            <w:tcW w:type="dxa" w:w="2160"/>
          </w:tcPr>
          <w:p>
            <w:r>
              <w:t>Pumps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310.0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340.0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400.0</w:t>
            </w:r>
          </w:p>
        </w:tc>
      </w:tr>
      <w:tr>
        <w:tc>
          <w:tcPr>
            <w:tcW w:type="dxa" w:w="2160"/>
          </w:tcPr>
          <w:p>
            <w:r>
              <w:t>Aftermarket services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170.0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200.0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220.0</w:t>
            </w:r>
          </w:p>
        </w:tc>
      </w:tr>
      <w:tr>
        <w:tc>
          <w:tcPr>
            <w:tcW w:type="dxa" w:w="2160"/>
          </w:tcPr>
          <w:p>
            <w:r>
              <w:t>Total revenue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1,000.0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1,110.0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1,230.0</w:t>
            </w:r>
          </w:p>
        </w:tc>
      </w:tr>
    </w:tbl>
    <w:p>
      <w:pPr>
        <w:pStyle w:val="Heading1"/>
      </w:pPr>
      <w:r>
        <w:t>Net working capital (EUR m)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EUR m</w:t>
            </w:r>
          </w:p>
        </w:tc>
        <w:tc>
          <w:tcPr>
            <w:tcW w:type="dxa" w:w="2160"/>
          </w:tcPr>
          <w:p>
            <w:r>
              <w:t>FY22</w:t>
            </w:r>
          </w:p>
        </w:tc>
        <w:tc>
          <w:tcPr>
            <w:tcW w:type="dxa" w:w="2160"/>
          </w:tcPr>
          <w:p>
            <w:r>
              <w:t>FY23</w:t>
            </w:r>
          </w:p>
        </w:tc>
        <w:tc>
          <w:tcPr>
            <w:tcW w:type="dxa" w:w="2160"/>
          </w:tcPr>
          <w:p>
            <w:r>
              <w:t>FY24</w:t>
            </w:r>
          </w:p>
        </w:tc>
      </w:tr>
      <w:tr>
        <w:tc>
          <w:tcPr>
            <w:tcW w:type="dxa" w:w="2160"/>
          </w:tcPr>
          <w:p>
            <w:r>
              <w:t>Inventories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140.0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152.0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166.0</w:t>
            </w:r>
          </w:p>
        </w:tc>
      </w:tr>
      <w:tr>
        <w:tc>
          <w:tcPr>
            <w:tcW w:type="dxa" w:w="2160"/>
          </w:tcPr>
          <w:p>
            <w:r>
              <w:t>Trade receivables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180.0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195.0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214.0</w:t>
            </w:r>
          </w:p>
        </w:tc>
      </w:tr>
      <w:tr>
        <w:tc>
          <w:tcPr>
            <w:tcW w:type="dxa" w:w="2160"/>
          </w:tcPr>
          <w:p>
            <w:r>
              <w:t>Trade payables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(120.0)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(131.0)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(142.0)</w:t>
            </w:r>
          </w:p>
        </w:tc>
      </w:tr>
      <w:tr>
        <w:tc>
          <w:tcPr>
            <w:tcW w:type="dxa" w:w="2160"/>
          </w:tcPr>
          <w:p>
            <w:r>
              <w:t>Net working capital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200.0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216.0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238.0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